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5D2E4" w14:textId="16373B99" w:rsidR="00F42CFF" w:rsidRPr="008F1F52" w:rsidRDefault="00F42CFF" w:rsidP="00BD0662">
      <w:pPr>
        <w:jc w:val="center"/>
        <w:rPr>
          <w:rFonts w:ascii="Arial" w:hAnsi="Arial" w:cs="Arial"/>
          <w:b/>
          <w:bCs/>
          <w:sz w:val="12"/>
          <w:szCs w:val="12"/>
        </w:rPr>
      </w:pPr>
    </w:p>
    <w:p w14:paraId="35825F30" w14:textId="631C5605" w:rsidR="007171D9" w:rsidRPr="00F532C0" w:rsidRDefault="007171D9" w:rsidP="004E2C48">
      <w:pPr>
        <w:shd w:val="clear" w:color="auto" w:fill="FFFFFF"/>
        <w:jc w:val="center"/>
        <w:rPr>
          <w:sz w:val="28"/>
          <w:szCs w:val="28"/>
        </w:rPr>
      </w:pPr>
      <w:r w:rsidRPr="00F532C0">
        <w:rPr>
          <w:rFonts w:ascii="Arial" w:eastAsia="Times New Roman" w:hAnsi="Arial" w:cs="Arial"/>
          <w:b/>
          <w:bCs/>
          <w:color w:val="500050"/>
          <w:sz w:val="28"/>
          <w:szCs w:val="28"/>
          <w:u w:val="single"/>
          <w:lang w:eastAsia="en-GB"/>
        </w:rPr>
        <w:t xml:space="preserve">MEDICAL </w:t>
      </w:r>
      <w:r w:rsidR="00D90457" w:rsidRPr="00F532C0">
        <w:rPr>
          <w:rFonts w:ascii="Arial" w:eastAsia="Times New Roman" w:hAnsi="Arial" w:cs="Arial"/>
          <w:b/>
          <w:bCs/>
          <w:color w:val="500050"/>
          <w:sz w:val="28"/>
          <w:szCs w:val="28"/>
          <w:u w:val="single"/>
          <w:lang w:eastAsia="en-GB"/>
        </w:rPr>
        <w:t>I</w:t>
      </w:r>
      <w:r w:rsidR="00D01781" w:rsidRPr="00F532C0">
        <w:rPr>
          <w:rFonts w:ascii="Arial" w:eastAsia="Times New Roman" w:hAnsi="Arial" w:cs="Arial"/>
          <w:b/>
          <w:bCs/>
          <w:color w:val="500050"/>
          <w:sz w:val="28"/>
          <w:szCs w:val="28"/>
          <w:u w:val="single"/>
          <w:lang w:eastAsia="en-GB"/>
        </w:rPr>
        <w:t xml:space="preserve">NSURANCE </w:t>
      </w:r>
      <w:r w:rsidRPr="00F532C0">
        <w:rPr>
          <w:rFonts w:ascii="Arial" w:eastAsia="Times New Roman" w:hAnsi="Arial" w:cs="Arial"/>
          <w:b/>
          <w:bCs/>
          <w:color w:val="500050"/>
          <w:sz w:val="28"/>
          <w:szCs w:val="28"/>
          <w:u w:val="single"/>
          <w:lang w:eastAsia="en-GB"/>
        </w:rPr>
        <w:t>CLAIM Consultancy for Individuals/Corporates</w:t>
      </w:r>
      <w:r w:rsidRPr="00F532C0">
        <w:rPr>
          <w:b/>
          <w:bCs/>
          <w:sz w:val="28"/>
          <w:szCs w:val="28"/>
        </w:rPr>
        <w:t xml:space="preserve"> </w:t>
      </w:r>
    </w:p>
    <w:p w14:paraId="79A648A6" w14:textId="53747391" w:rsidR="007171D9" w:rsidRPr="004E2C48" w:rsidRDefault="007171D9" w:rsidP="007171D9">
      <w:pPr>
        <w:pStyle w:val="Default"/>
        <w:jc w:val="both"/>
        <w:rPr>
          <w:sz w:val="28"/>
          <w:szCs w:val="28"/>
        </w:rPr>
      </w:pPr>
      <w:r w:rsidRPr="004E2C48">
        <w:rPr>
          <w:sz w:val="28"/>
          <w:szCs w:val="28"/>
        </w:rPr>
        <w:t>The biggest problem in availing Medical Insurance services or claims is lack of knowledge or procedures in claiming/getting treatment or reimbursements from the TPAs/Insurance Companies. We are forced to run from pillar to post before we come to know the intricacies of the medical insurance. We have the required expertise in facilitating such customers or patients or their relatives in availing healthcare services or claiming reimbursements from the TPAs/Insurance Companies for the expenses that</w:t>
      </w:r>
      <w:bookmarkStart w:id="0" w:name="_GoBack"/>
      <w:bookmarkEnd w:id="0"/>
      <w:r w:rsidRPr="004E2C48">
        <w:rPr>
          <w:sz w:val="28"/>
          <w:szCs w:val="28"/>
        </w:rPr>
        <w:t xml:space="preserve"> they incur towards the cost of treatment and other related expenses. </w:t>
      </w:r>
    </w:p>
    <w:p w14:paraId="1D1A6382" w14:textId="77777777" w:rsidR="002B7056" w:rsidRPr="004E2C48" w:rsidRDefault="002B7056" w:rsidP="002B7056">
      <w:pPr>
        <w:pStyle w:val="Default"/>
        <w:numPr>
          <w:ilvl w:val="0"/>
          <w:numId w:val="5"/>
        </w:numPr>
        <w:rPr>
          <w:sz w:val="28"/>
          <w:szCs w:val="28"/>
        </w:rPr>
      </w:pPr>
      <w:r w:rsidRPr="004E2C48">
        <w:rPr>
          <w:b/>
          <w:bCs/>
          <w:sz w:val="28"/>
          <w:szCs w:val="28"/>
        </w:rPr>
        <w:t xml:space="preserve">Mediclaim Reimbursement Facilitation Services </w:t>
      </w:r>
    </w:p>
    <w:p w14:paraId="18684181" w14:textId="77777777" w:rsidR="002B7056" w:rsidRPr="004E2C48" w:rsidRDefault="002B7056" w:rsidP="002B7056">
      <w:pPr>
        <w:pStyle w:val="Default"/>
        <w:jc w:val="both"/>
        <w:rPr>
          <w:sz w:val="28"/>
          <w:szCs w:val="28"/>
        </w:rPr>
      </w:pPr>
      <w:r w:rsidRPr="004E2C48">
        <w:rPr>
          <w:sz w:val="28"/>
          <w:szCs w:val="28"/>
        </w:rPr>
        <w:t xml:space="preserve">Making the claim &amp; starting the process to finishing the reimbursements from the TPAs/Insurance Companies are the basic work that we do on behalf of our clients. All forms of submission are availed of for speedy settlement &amp; reimbursements. </w:t>
      </w:r>
    </w:p>
    <w:p w14:paraId="72A5AC14" w14:textId="77777777" w:rsidR="002B7056" w:rsidRPr="004E2C48" w:rsidRDefault="002B7056" w:rsidP="002B7056">
      <w:pPr>
        <w:pStyle w:val="Default"/>
        <w:numPr>
          <w:ilvl w:val="0"/>
          <w:numId w:val="5"/>
        </w:numPr>
        <w:rPr>
          <w:sz w:val="28"/>
          <w:szCs w:val="28"/>
        </w:rPr>
      </w:pPr>
      <w:r w:rsidRPr="004E2C48">
        <w:rPr>
          <w:b/>
          <w:bCs/>
          <w:sz w:val="28"/>
          <w:szCs w:val="28"/>
        </w:rPr>
        <w:t xml:space="preserve">Pending Claim/Dispute Resolution Services </w:t>
      </w:r>
    </w:p>
    <w:p w14:paraId="58C780A3" w14:textId="77777777" w:rsidR="002B7056" w:rsidRPr="004E2C48" w:rsidRDefault="002B7056" w:rsidP="002B7056">
      <w:pPr>
        <w:pStyle w:val="Default"/>
        <w:jc w:val="both"/>
        <w:rPr>
          <w:sz w:val="28"/>
          <w:szCs w:val="28"/>
        </w:rPr>
      </w:pPr>
      <w:r w:rsidRPr="004E2C48">
        <w:rPr>
          <w:sz w:val="28"/>
          <w:szCs w:val="28"/>
        </w:rPr>
        <w:t xml:space="preserve">Any existing or pending claims with any TPAs or Insurance Companies can be taken up on expression of interest from the client. Our operational professionalism or excellence helps us in big way in achieving results. </w:t>
      </w:r>
    </w:p>
    <w:p w14:paraId="7B3E0B33" w14:textId="66CB0451" w:rsidR="007171D9" w:rsidRPr="004E2C48" w:rsidRDefault="007171D9" w:rsidP="007171D9">
      <w:pPr>
        <w:pStyle w:val="Default"/>
        <w:numPr>
          <w:ilvl w:val="0"/>
          <w:numId w:val="5"/>
        </w:numPr>
        <w:rPr>
          <w:sz w:val="28"/>
          <w:szCs w:val="28"/>
        </w:rPr>
      </w:pPr>
      <w:r w:rsidRPr="004E2C48">
        <w:rPr>
          <w:b/>
          <w:bCs/>
          <w:sz w:val="28"/>
          <w:szCs w:val="28"/>
        </w:rPr>
        <w:t xml:space="preserve">Nursing Homes/Hospitals </w:t>
      </w:r>
      <w:r w:rsidR="002B7056" w:rsidRPr="004E2C48">
        <w:rPr>
          <w:b/>
          <w:bCs/>
          <w:sz w:val="28"/>
          <w:szCs w:val="28"/>
        </w:rPr>
        <w:t xml:space="preserve">Selection </w:t>
      </w:r>
      <w:r w:rsidRPr="004E2C48">
        <w:rPr>
          <w:b/>
          <w:bCs/>
          <w:sz w:val="28"/>
          <w:szCs w:val="28"/>
        </w:rPr>
        <w:t xml:space="preserve">Advisory Services </w:t>
      </w:r>
    </w:p>
    <w:p w14:paraId="4AB8F8F4" w14:textId="77777777" w:rsidR="007171D9" w:rsidRPr="004E2C48" w:rsidRDefault="007171D9" w:rsidP="007171D9">
      <w:pPr>
        <w:pStyle w:val="Default"/>
        <w:jc w:val="both"/>
        <w:rPr>
          <w:sz w:val="28"/>
          <w:szCs w:val="28"/>
        </w:rPr>
      </w:pPr>
      <w:r w:rsidRPr="004E2C48">
        <w:rPr>
          <w:sz w:val="28"/>
          <w:szCs w:val="28"/>
        </w:rPr>
        <w:t xml:space="preserve">Our Experience &amp; Extensive Knowledge about the Nursing Homes/Hospitals attached with the 3rd Party Administrators (TPAs) or the Insurance Companies help us in big way in advising or suggesting our clients to approach the best of the available lot for treatment for the disease that they suffer from. For cashless or cash payment treatments, the practice today is to be empaneled with the desired agencies as per instructions of the IRDAI, India. </w:t>
      </w:r>
    </w:p>
    <w:p w14:paraId="4FE10010" w14:textId="07BFC53C" w:rsidR="007171D9" w:rsidRPr="004E2C48" w:rsidRDefault="007171D9" w:rsidP="007171D9">
      <w:pPr>
        <w:pStyle w:val="Default"/>
        <w:ind w:firstLine="720"/>
        <w:rPr>
          <w:b/>
          <w:bCs/>
          <w:sz w:val="28"/>
          <w:szCs w:val="28"/>
        </w:rPr>
      </w:pPr>
      <w:r w:rsidRPr="004E2C48">
        <w:rPr>
          <w:b/>
          <w:bCs/>
          <w:sz w:val="28"/>
          <w:szCs w:val="28"/>
        </w:rPr>
        <w:t xml:space="preserve">Our Role </w:t>
      </w:r>
    </w:p>
    <w:p w14:paraId="086D92F0" w14:textId="511CE9A3" w:rsidR="007171D9" w:rsidRPr="004E2C48" w:rsidRDefault="007171D9" w:rsidP="007171D9">
      <w:pPr>
        <w:pStyle w:val="Default"/>
        <w:jc w:val="both"/>
        <w:rPr>
          <w:sz w:val="28"/>
          <w:szCs w:val="28"/>
        </w:rPr>
      </w:pPr>
      <w:r w:rsidRPr="004E2C48">
        <w:rPr>
          <w:sz w:val="28"/>
          <w:szCs w:val="28"/>
        </w:rPr>
        <w:t xml:space="preserve">We undertake all paperwork related to reimbursement of the Mediclaim or healthcare services availed or leveraged from the various Nursing Homes/Hospitals and submission of the papers &amp; documents to the concerned TPAs/Insurance Companies. These can include administrative, operational, regulatory compliances involved with the aforesaid services that we offer. We regularly update our clients with the development till the desired job is achieved or completed. The professional service fee for the aforesaid services differs and is competitive. </w:t>
      </w:r>
    </w:p>
    <w:p w14:paraId="19B9E735" w14:textId="77777777" w:rsidR="007171D9" w:rsidRPr="004E2C48" w:rsidRDefault="007171D9" w:rsidP="007171D9">
      <w:pPr>
        <w:shd w:val="clear" w:color="auto" w:fill="FFFFFF"/>
        <w:jc w:val="both"/>
        <w:rPr>
          <w:sz w:val="28"/>
          <w:szCs w:val="28"/>
        </w:rPr>
      </w:pPr>
      <w:r w:rsidRPr="004E2C48">
        <w:rPr>
          <w:sz w:val="28"/>
          <w:szCs w:val="28"/>
        </w:rPr>
        <w:t xml:space="preserve">We shall be glad to provide our value-added services to your esteemed concern. Please feel free to contact us for any of the aforesaid services. </w:t>
      </w:r>
    </w:p>
    <w:p w14:paraId="2DED6908" w14:textId="77777777" w:rsidR="007171D9" w:rsidRDefault="007171D9" w:rsidP="007171D9">
      <w:pPr>
        <w:shd w:val="clear" w:color="auto" w:fill="FFFFFF"/>
        <w:jc w:val="both"/>
        <w:rPr>
          <w:rFonts w:ascii="Arial" w:eastAsia="Times New Roman" w:hAnsi="Arial" w:cs="Arial"/>
          <w:b/>
          <w:bCs/>
          <w:color w:val="500050"/>
          <w:sz w:val="24"/>
          <w:szCs w:val="24"/>
          <w:lang w:eastAsia="en-GB"/>
        </w:rPr>
      </w:pPr>
    </w:p>
    <w:sectPr w:rsidR="007171D9" w:rsidSect="009D4F2E">
      <w:headerReference w:type="default" r:id="rId8"/>
      <w:footerReference w:type="default" r:id="rId9"/>
      <w:pgSz w:w="11909" w:h="16834" w:code="9"/>
      <w:pgMar w:top="1152" w:right="1152" w:bottom="1152" w:left="1152" w:header="576" w:footer="21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67149" w14:textId="77777777" w:rsidR="002E5BBE" w:rsidRDefault="002E5BBE">
      <w:r>
        <w:separator/>
      </w:r>
    </w:p>
  </w:endnote>
  <w:endnote w:type="continuationSeparator" w:id="0">
    <w:p w14:paraId="5AF13CD1" w14:textId="77777777" w:rsidR="002E5BBE" w:rsidRDefault="002E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2729" w14:textId="431ACC92" w:rsidR="00CC5EA4" w:rsidRDefault="001B56F7">
    <w:pPr>
      <w:pStyle w:val="BodyText"/>
      <w:spacing w:line="14" w:lineRule="auto"/>
    </w:pPr>
    <w:r>
      <w:rPr>
        <w:noProof/>
        <w:lang w:val="en-IN" w:eastAsia="en-IN"/>
      </w:rPr>
      <mc:AlternateContent>
        <mc:Choice Requires="wps">
          <w:drawing>
            <wp:anchor distT="0" distB="0" distL="114300" distR="114300" simplePos="0" relativeHeight="1024" behindDoc="0" locked="0" layoutInCell="1" allowOverlap="1" wp14:anchorId="5F9127A5" wp14:editId="3274BA46">
              <wp:simplePos x="0" y="0"/>
              <wp:positionH relativeFrom="page">
                <wp:posOffset>775970</wp:posOffset>
              </wp:positionH>
              <wp:positionV relativeFrom="page">
                <wp:posOffset>9277350</wp:posOffset>
              </wp:positionV>
              <wp:extent cx="6221095" cy="910590"/>
              <wp:effectExtent l="4445"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1pt;margin-top:730.5pt;width:489.85pt;height:71.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E3D7" w14:textId="77777777" w:rsidR="002E5BBE" w:rsidRDefault="002E5BBE">
      <w:r>
        <w:separator/>
      </w:r>
    </w:p>
  </w:footnote>
  <w:footnote w:type="continuationSeparator" w:id="0">
    <w:p w14:paraId="4C2DAC33" w14:textId="77777777" w:rsidR="002E5BBE" w:rsidRDefault="002E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9D7FA" w14:textId="2623E927" w:rsidR="002731A2" w:rsidRDefault="001B56F7" w:rsidP="00561E00">
    <w:pPr>
      <w:pStyle w:val="Header"/>
      <w:tabs>
        <w:tab w:val="clear" w:pos="4680"/>
        <w:tab w:val="clear" w:pos="9360"/>
        <w:tab w:val="right" w:pos="10020"/>
      </w:tabs>
      <w:rPr>
        <w:noProof/>
      </w:rPr>
    </w:pPr>
    <w:r>
      <w:rPr>
        <w:noProof/>
        <w:lang w:val="en-IN" w:eastAsia="en-IN"/>
      </w:rPr>
      <mc:AlternateContent>
        <mc:Choice Requires="wps">
          <w:drawing>
            <wp:anchor distT="45720" distB="45720" distL="114300" distR="114300" simplePos="0" relativeHeight="251658240" behindDoc="0" locked="0" layoutInCell="1" allowOverlap="1" wp14:anchorId="260CA551" wp14:editId="7BDC3D5F">
              <wp:simplePos x="0" y="0"/>
              <wp:positionH relativeFrom="column">
                <wp:posOffset>2697480</wp:posOffset>
              </wp:positionH>
              <wp:positionV relativeFrom="paragraph">
                <wp:posOffset>5715</wp:posOffset>
              </wp:positionV>
              <wp:extent cx="3638550" cy="952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52500"/>
                      </a:xfrm>
                      <a:prstGeom prst="rect">
                        <a:avLst/>
                      </a:prstGeom>
                      <a:solidFill>
                        <a:srgbClr val="FFFFFF"/>
                      </a:solidFill>
                      <a:ln w="9525">
                        <a:solidFill>
                          <a:srgbClr val="000000"/>
                        </a:solidFill>
                        <a:miter lim="800000"/>
                        <a:headEnd/>
                        <a:tailEnd/>
                      </a:ln>
                    </wps:spPr>
                    <wps:txbx>
                      <w:txbxContent>
                        <w:p w14:paraId="4E4A56CC" w14:textId="77777777" w:rsidR="00FF648C" w:rsidRPr="005B17A9" w:rsidRDefault="00FF648C" w:rsidP="00FF648C">
                          <w:r w:rsidRPr="005B17A9">
                            <w:t xml:space="preserve">Plot No. 192, </w:t>
                          </w:r>
                          <w:proofErr w:type="spellStart"/>
                          <w:r w:rsidRPr="005B17A9">
                            <w:t>Mandakini</w:t>
                          </w:r>
                          <w:proofErr w:type="spellEnd"/>
                          <w:r w:rsidRPr="005B17A9">
                            <w:t xml:space="preserve"> Society, Opp. Central Bank of India, Shloka Building, Ground Floor, Near </w:t>
                          </w:r>
                          <w:proofErr w:type="spellStart"/>
                          <w:r w:rsidRPr="005B17A9">
                            <w:t>Mandakini</w:t>
                          </w:r>
                          <w:proofErr w:type="spellEnd"/>
                          <w:r w:rsidRPr="005B17A9">
                            <w:t xml:space="preserve"> Square, Kolar Road, Bhopal – 462042 (Madhya Pradesh)   </w:t>
                          </w:r>
                        </w:p>
                        <w:p w14:paraId="14F0AF45" w14:textId="77777777" w:rsidR="00FF648C" w:rsidRDefault="00FF648C" w:rsidP="00FF648C">
                          <w:pPr>
                            <w:jc w:val="center"/>
                            <w:rPr>
                              <w:sz w:val="20"/>
                              <w:szCs w:val="20"/>
                            </w:rPr>
                          </w:pPr>
                          <w:r>
                            <w:rPr>
                              <w:sz w:val="20"/>
                              <w:szCs w:val="20"/>
                            </w:rPr>
                            <w:t>Email - ; Contact – (0755) 3588840</w:t>
                          </w:r>
                        </w:p>
                        <w:p w14:paraId="7080B7C4" w14:textId="77777777" w:rsidR="00FF648C" w:rsidRPr="005B17A9" w:rsidRDefault="00FF648C" w:rsidP="00FF648C">
                          <w:pPr>
                            <w:jc w:val="center"/>
                            <w:rPr>
                              <w:b/>
                            </w:rPr>
                          </w:pPr>
                          <w:r w:rsidRPr="005B17A9">
                            <w:rPr>
                              <w:b/>
                            </w:rPr>
                            <w:t>Offices - Dubai, Bhopal, New Delhi, Patna, Mumbai</w:t>
                          </w:r>
                        </w:p>
                        <w:p w14:paraId="5E775DC4" w14:textId="1A8A7F82" w:rsidR="00561E00" w:rsidRPr="00523847" w:rsidRDefault="00561E00" w:rsidP="00561E00">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2.4pt;margin-top:.45pt;width:286.5pt;height: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">
              <v:textbox>
                <w:txbxContent>
                  <w:p w14:paraId="4E4A56CC" w14:textId="77777777" w:rsidR="00FF648C" w:rsidRPr="005B17A9" w:rsidRDefault="00FF648C" w:rsidP="00FF648C">
                    <w:r w:rsidRPr="005B17A9">
                      <w:t xml:space="preserve">Plot No. 192, </w:t>
                    </w:r>
                    <w:proofErr w:type="spellStart"/>
                    <w:r w:rsidRPr="005B17A9">
                      <w:t>Mandakini</w:t>
                    </w:r>
                    <w:proofErr w:type="spellEnd"/>
                    <w:r w:rsidRPr="005B17A9">
                      <w:t xml:space="preserve"> Society, Opp. Central Bank of India, Shloka Building, Ground Floor, Near </w:t>
                    </w:r>
                    <w:proofErr w:type="spellStart"/>
                    <w:r w:rsidRPr="005B17A9">
                      <w:t>Mandakini</w:t>
                    </w:r>
                    <w:proofErr w:type="spellEnd"/>
                    <w:r w:rsidRPr="005B17A9">
                      <w:t xml:space="preserve"> Square, Kolar Road, Bhopal – 462042 (Madhya Pradesh)   </w:t>
                    </w:r>
                  </w:p>
                  <w:p w14:paraId="14F0AF45" w14:textId="77777777" w:rsidR="00FF648C" w:rsidRDefault="00FF648C" w:rsidP="00FF648C">
                    <w:pPr>
                      <w:jc w:val="center"/>
                      <w:rPr>
                        <w:sz w:val="20"/>
                        <w:szCs w:val="20"/>
                      </w:rPr>
                    </w:pPr>
                    <w:r>
                      <w:rPr>
                        <w:sz w:val="20"/>
                        <w:szCs w:val="20"/>
                      </w:rPr>
                      <w:t>Email - ; Contact – (0755) 3588840</w:t>
                    </w:r>
                  </w:p>
                  <w:p w14:paraId="7080B7C4" w14:textId="77777777" w:rsidR="00FF648C" w:rsidRPr="005B17A9" w:rsidRDefault="00FF648C" w:rsidP="00FF648C">
                    <w:pPr>
                      <w:jc w:val="center"/>
                      <w:rPr>
                        <w:b/>
                      </w:rPr>
                    </w:pPr>
                    <w:r w:rsidRPr="005B17A9">
                      <w:rPr>
                        <w:b/>
                      </w:rPr>
                      <w:t>Offices - Dubai, Bhopal, New Delhi, Patna, Mumbai</w:t>
                    </w:r>
                  </w:p>
                  <w:p w14:paraId="5E775DC4" w14:textId="1A8A7F82" w:rsidR="00561E00" w:rsidRPr="00523847" w:rsidRDefault="00561E00" w:rsidP="00561E00">
                    <w:pPr>
                      <w:jc w:val="center"/>
                      <w:rPr>
                        <w:sz w:val="20"/>
                        <w:szCs w:val="20"/>
                      </w:rPr>
                    </w:pPr>
                  </w:p>
                </w:txbxContent>
              </v:textbox>
              <w10:wrap type="square"/>
            </v:shape>
          </w:pict>
        </mc:Fallback>
      </mc:AlternateContent>
    </w:r>
    <w:r w:rsidR="00F5334D">
      <w:t xml:space="preserve"> </w:t>
    </w:r>
    <w:r w:rsidR="00FF648C">
      <w:rPr>
        <w:noProof/>
        <w:lang w:val="en-IN" w:eastAsia="en-IN"/>
      </w:rPr>
      <w:drawing>
        <wp:inline distT="0" distB="0" distL="0" distR="0" wp14:anchorId="4AB43750" wp14:editId="652E0C3F">
          <wp:extent cx="26574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 LLP Logo.jpg"/>
                  <pic:cNvPicPr/>
                </pic:nvPicPr>
                <pic:blipFill>
                  <a:blip r:embed="rId1">
                    <a:extLst>
                      <a:ext uri="{28A0092B-C50C-407E-A947-70E740481C1C}">
                        <a14:useLocalDpi xmlns:a14="http://schemas.microsoft.com/office/drawing/2010/main" val="0"/>
                      </a:ext>
                    </a:extLst>
                  </a:blip>
                  <a:stretch>
                    <a:fillRect/>
                  </a:stretch>
                </pic:blipFill>
                <pic:spPr>
                  <a:xfrm>
                    <a:off x="0" y="0"/>
                    <a:ext cx="2657475" cy="923925"/>
                  </a:xfrm>
                  <a:prstGeom prst="rect">
                    <a:avLst/>
                  </a:prstGeom>
                </pic:spPr>
              </pic:pic>
            </a:graphicData>
          </a:graphic>
        </wp:inline>
      </w:drawing>
    </w:r>
    <w:r w:rsidR="002731A2">
      <w:t xml:space="preserve"> </w:t>
    </w:r>
    <w:r w:rsidR="00561E00">
      <w:t xml:space="preserve"> </w:t>
    </w:r>
  </w:p>
  <w:p w14:paraId="09424057" w14:textId="77777777" w:rsidR="00CC6E65" w:rsidRPr="00F5334D" w:rsidRDefault="00CC6E65" w:rsidP="00561E00">
    <w:pPr>
      <w:pStyle w:val="Header"/>
      <w:tabs>
        <w:tab w:val="clear" w:pos="4680"/>
        <w:tab w:val="clear" w:pos="9360"/>
        <w:tab w:val="right" w:pos="10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BD1"/>
    <w:multiLevelType w:val="hybridMultilevel"/>
    <w:tmpl w:val="41EEB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6BA4"/>
    <w:multiLevelType w:val="hybridMultilevel"/>
    <w:tmpl w:val="910E53E4"/>
    <w:lvl w:ilvl="0" w:tplc="BE4015E6">
      <w:numFmt w:val="bullet"/>
      <w:lvlText w:val=""/>
      <w:lvlJc w:val="left"/>
      <w:pPr>
        <w:ind w:left="652" w:hanging="360"/>
      </w:pPr>
      <w:rPr>
        <w:rFonts w:ascii="Symbol" w:eastAsia="Symbol" w:hAnsi="Symbol" w:cs="Symbol" w:hint="default"/>
        <w:w w:val="100"/>
        <w:sz w:val="24"/>
        <w:szCs w:val="24"/>
      </w:rPr>
    </w:lvl>
    <w:lvl w:ilvl="1" w:tplc="6CFC8E0E">
      <w:numFmt w:val="bullet"/>
      <w:lvlText w:val="•"/>
      <w:lvlJc w:val="left"/>
      <w:pPr>
        <w:ind w:left="1501" w:hanging="360"/>
      </w:pPr>
      <w:rPr>
        <w:rFonts w:hint="default"/>
      </w:rPr>
    </w:lvl>
    <w:lvl w:ilvl="2" w:tplc="401C04AE">
      <w:numFmt w:val="bullet"/>
      <w:lvlText w:val="•"/>
      <w:lvlJc w:val="left"/>
      <w:pPr>
        <w:ind w:left="2343" w:hanging="360"/>
      </w:pPr>
      <w:rPr>
        <w:rFonts w:hint="default"/>
      </w:rPr>
    </w:lvl>
    <w:lvl w:ilvl="3" w:tplc="BF467620">
      <w:numFmt w:val="bullet"/>
      <w:lvlText w:val="•"/>
      <w:lvlJc w:val="left"/>
      <w:pPr>
        <w:ind w:left="3184" w:hanging="360"/>
      </w:pPr>
      <w:rPr>
        <w:rFonts w:hint="default"/>
      </w:rPr>
    </w:lvl>
    <w:lvl w:ilvl="4" w:tplc="0EB82172">
      <w:numFmt w:val="bullet"/>
      <w:lvlText w:val="•"/>
      <w:lvlJc w:val="left"/>
      <w:pPr>
        <w:ind w:left="4026" w:hanging="360"/>
      </w:pPr>
      <w:rPr>
        <w:rFonts w:hint="default"/>
      </w:rPr>
    </w:lvl>
    <w:lvl w:ilvl="5" w:tplc="959C3118">
      <w:numFmt w:val="bullet"/>
      <w:lvlText w:val="•"/>
      <w:lvlJc w:val="left"/>
      <w:pPr>
        <w:ind w:left="4867" w:hanging="360"/>
      </w:pPr>
      <w:rPr>
        <w:rFonts w:hint="default"/>
      </w:rPr>
    </w:lvl>
    <w:lvl w:ilvl="6" w:tplc="AFE8F178">
      <w:numFmt w:val="bullet"/>
      <w:lvlText w:val="•"/>
      <w:lvlJc w:val="left"/>
      <w:pPr>
        <w:ind w:left="5709" w:hanging="360"/>
      </w:pPr>
      <w:rPr>
        <w:rFonts w:hint="default"/>
      </w:rPr>
    </w:lvl>
    <w:lvl w:ilvl="7" w:tplc="1158D84E">
      <w:numFmt w:val="bullet"/>
      <w:lvlText w:val="•"/>
      <w:lvlJc w:val="left"/>
      <w:pPr>
        <w:ind w:left="6550" w:hanging="360"/>
      </w:pPr>
      <w:rPr>
        <w:rFonts w:hint="default"/>
      </w:rPr>
    </w:lvl>
    <w:lvl w:ilvl="8" w:tplc="E4C61B52">
      <w:numFmt w:val="bullet"/>
      <w:lvlText w:val="•"/>
      <w:lvlJc w:val="left"/>
      <w:pPr>
        <w:ind w:left="7392" w:hanging="360"/>
      </w:pPr>
      <w:rPr>
        <w:rFonts w:hint="default"/>
      </w:rPr>
    </w:lvl>
  </w:abstractNum>
  <w:abstractNum w:abstractNumId="2">
    <w:nsid w:val="27576463"/>
    <w:multiLevelType w:val="hybridMultilevel"/>
    <w:tmpl w:val="E604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11262"/>
    <w:multiLevelType w:val="hybridMultilevel"/>
    <w:tmpl w:val="157C8C0A"/>
    <w:lvl w:ilvl="0" w:tplc="9B964B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AA66DD"/>
    <w:multiLevelType w:val="hybridMultilevel"/>
    <w:tmpl w:val="F9E0896C"/>
    <w:lvl w:ilvl="0" w:tplc="78E6B07C">
      <w:numFmt w:val="bullet"/>
      <w:lvlText w:val=""/>
      <w:lvlJc w:val="left"/>
      <w:pPr>
        <w:ind w:left="580" w:hanging="360"/>
      </w:pPr>
      <w:rPr>
        <w:rFonts w:ascii="Symbol" w:eastAsia="Symbol" w:hAnsi="Symbol" w:cs="Symbol" w:hint="default"/>
        <w:w w:val="100"/>
        <w:sz w:val="22"/>
        <w:szCs w:val="22"/>
      </w:rPr>
    </w:lvl>
    <w:lvl w:ilvl="1" w:tplc="35F41842">
      <w:numFmt w:val="bullet"/>
      <w:lvlText w:val=""/>
      <w:lvlJc w:val="left"/>
      <w:pPr>
        <w:ind w:left="940" w:hanging="360"/>
      </w:pPr>
      <w:rPr>
        <w:rFonts w:ascii="Symbol" w:eastAsia="Symbol" w:hAnsi="Symbol" w:cs="Symbol" w:hint="default"/>
        <w:w w:val="100"/>
        <w:sz w:val="24"/>
        <w:szCs w:val="24"/>
      </w:rPr>
    </w:lvl>
    <w:lvl w:ilvl="2" w:tplc="243C657A">
      <w:numFmt w:val="bullet"/>
      <w:lvlText w:val="•"/>
      <w:lvlJc w:val="left"/>
      <w:pPr>
        <w:ind w:left="1948" w:hanging="360"/>
      </w:pPr>
      <w:rPr>
        <w:rFonts w:hint="default"/>
      </w:rPr>
    </w:lvl>
    <w:lvl w:ilvl="3" w:tplc="72FC91A6">
      <w:numFmt w:val="bullet"/>
      <w:lvlText w:val="•"/>
      <w:lvlJc w:val="left"/>
      <w:pPr>
        <w:ind w:left="2957" w:hanging="360"/>
      </w:pPr>
      <w:rPr>
        <w:rFonts w:hint="default"/>
      </w:rPr>
    </w:lvl>
    <w:lvl w:ilvl="4" w:tplc="3062728A">
      <w:numFmt w:val="bullet"/>
      <w:lvlText w:val="•"/>
      <w:lvlJc w:val="left"/>
      <w:pPr>
        <w:ind w:left="3966" w:hanging="360"/>
      </w:pPr>
      <w:rPr>
        <w:rFonts w:hint="default"/>
      </w:rPr>
    </w:lvl>
    <w:lvl w:ilvl="5" w:tplc="9F34FEE0">
      <w:numFmt w:val="bullet"/>
      <w:lvlText w:val="•"/>
      <w:lvlJc w:val="left"/>
      <w:pPr>
        <w:ind w:left="4975" w:hanging="360"/>
      </w:pPr>
      <w:rPr>
        <w:rFonts w:hint="default"/>
      </w:rPr>
    </w:lvl>
    <w:lvl w:ilvl="6" w:tplc="994EC958">
      <w:numFmt w:val="bullet"/>
      <w:lvlText w:val="•"/>
      <w:lvlJc w:val="left"/>
      <w:pPr>
        <w:ind w:left="5984" w:hanging="360"/>
      </w:pPr>
      <w:rPr>
        <w:rFonts w:hint="default"/>
      </w:rPr>
    </w:lvl>
    <w:lvl w:ilvl="7" w:tplc="DDDCE2D2">
      <w:numFmt w:val="bullet"/>
      <w:lvlText w:val="•"/>
      <w:lvlJc w:val="left"/>
      <w:pPr>
        <w:ind w:left="6993" w:hanging="360"/>
      </w:pPr>
      <w:rPr>
        <w:rFonts w:hint="default"/>
      </w:rPr>
    </w:lvl>
    <w:lvl w:ilvl="8" w:tplc="4FB09886">
      <w:numFmt w:val="bullet"/>
      <w:lvlText w:val="•"/>
      <w:lvlJc w:val="left"/>
      <w:pPr>
        <w:ind w:left="8002"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A4"/>
    <w:rsid w:val="000272F7"/>
    <w:rsid w:val="00047D9F"/>
    <w:rsid w:val="000777B4"/>
    <w:rsid w:val="000905FF"/>
    <w:rsid w:val="000D21F8"/>
    <w:rsid w:val="00132E57"/>
    <w:rsid w:val="00152CE5"/>
    <w:rsid w:val="0015575E"/>
    <w:rsid w:val="00155B3D"/>
    <w:rsid w:val="001578A0"/>
    <w:rsid w:val="001631A1"/>
    <w:rsid w:val="001751BF"/>
    <w:rsid w:val="001B0089"/>
    <w:rsid w:val="001B56F7"/>
    <w:rsid w:val="001B7FA9"/>
    <w:rsid w:val="001C0777"/>
    <w:rsid w:val="001F1D68"/>
    <w:rsid w:val="00210BBA"/>
    <w:rsid w:val="00216FCA"/>
    <w:rsid w:val="0023585E"/>
    <w:rsid w:val="002731A2"/>
    <w:rsid w:val="00274A0B"/>
    <w:rsid w:val="002A7FA1"/>
    <w:rsid w:val="002B60AD"/>
    <w:rsid w:val="002B7056"/>
    <w:rsid w:val="002C584D"/>
    <w:rsid w:val="002E0649"/>
    <w:rsid w:val="002E5BBE"/>
    <w:rsid w:val="00361953"/>
    <w:rsid w:val="00362E11"/>
    <w:rsid w:val="00370E18"/>
    <w:rsid w:val="00373884"/>
    <w:rsid w:val="003F27E2"/>
    <w:rsid w:val="00406697"/>
    <w:rsid w:val="0041357A"/>
    <w:rsid w:val="00455116"/>
    <w:rsid w:val="00484C16"/>
    <w:rsid w:val="004A7999"/>
    <w:rsid w:val="004B72CE"/>
    <w:rsid w:val="004C27C1"/>
    <w:rsid w:val="004C2EB7"/>
    <w:rsid w:val="004E2C48"/>
    <w:rsid w:val="005127F0"/>
    <w:rsid w:val="00523847"/>
    <w:rsid w:val="00532C74"/>
    <w:rsid w:val="005418C1"/>
    <w:rsid w:val="00545C99"/>
    <w:rsid w:val="00551605"/>
    <w:rsid w:val="00561E00"/>
    <w:rsid w:val="00575B43"/>
    <w:rsid w:val="00584F0D"/>
    <w:rsid w:val="005D1760"/>
    <w:rsid w:val="005E1B66"/>
    <w:rsid w:val="005E7450"/>
    <w:rsid w:val="00633D30"/>
    <w:rsid w:val="00654F08"/>
    <w:rsid w:val="00664DCF"/>
    <w:rsid w:val="00680437"/>
    <w:rsid w:val="006855E2"/>
    <w:rsid w:val="0070180D"/>
    <w:rsid w:val="0071674D"/>
    <w:rsid w:val="007171D9"/>
    <w:rsid w:val="00723C08"/>
    <w:rsid w:val="007255AF"/>
    <w:rsid w:val="00746E55"/>
    <w:rsid w:val="0077412B"/>
    <w:rsid w:val="007D2F10"/>
    <w:rsid w:val="00800E2C"/>
    <w:rsid w:val="00825990"/>
    <w:rsid w:val="0083277E"/>
    <w:rsid w:val="0083463B"/>
    <w:rsid w:val="008433A8"/>
    <w:rsid w:val="008605DA"/>
    <w:rsid w:val="00870441"/>
    <w:rsid w:val="00870CF2"/>
    <w:rsid w:val="0088005C"/>
    <w:rsid w:val="008A0E3A"/>
    <w:rsid w:val="008A7DF5"/>
    <w:rsid w:val="008B2DFA"/>
    <w:rsid w:val="008B438F"/>
    <w:rsid w:val="008B6969"/>
    <w:rsid w:val="008C7E21"/>
    <w:rsid w:val="008D23C7"/>
    <w:rsid w:val="008F1F52"/>
    <w:rsid w:val="0098558E"/>
    <w:rsid w:val="0098628F"/>
    <w:rsid w:val="009943DC"/>
    <w:rsid w:val="009954B1"/>
    <w:rsid w:val="009C1B7E"/>
    <w:rsid w:val="009D4F2E"/>
    <w:rsid w:val="009D79A1"/>
    <w:rsid w:val="00A1398E"/>
    <w:rsid w:val="00A156AF"/>
    <w:rsid w:val="00A2291D"/>
    <w:rsid w:val="00A56F70"/>
    <w:rsid w:val="00A87E23"/>
    <w:rsid w:val="00AA473A"/>
    <w:rsid w:val="00AC2B43"/>
    <w:rsid w:val="00AD11DB"/>
    <w:rsid w:val="00AD2096"/>
    <w:rsid w:val="00B23C81"/>
    <w:rsid w:val="00B2786E"/>
    <w:rsid w:val="00B30380"/>
    <w:rsid w:val="00B379FE"/>
    <w:rsid w:val="00B524AB"/>
    <w:rsid w:val="00B60917"/>
    <w:rsid w:val="00B92275"/>
    <w:rsid w:val="00BD0662"/>
    <w:rsid w:val="00BD6F2C"/>
    <w:rsid w:val="00BE382B"/>
    <w:rsid w:val="00BE3ABD"/>
    <w:rsid w:val="00C31CAA"/>
    <w:rsid w:val="00C44087"/>
    <w:rsid w:val="00C928BA"/>
    <w:rsid w:val="00C94201"/>
    <w:rsid w:val="00CA4B0E"/>
    <w:rsid w:val="00CA56F5"/>
    <w:rsid w:val="00CB1B68"/>
    <w:rsid w:val="00CC2388"/>
    <w:rsid w:val="00CC5EA4"/>
    <w:rsid w:val="00CC6E65"/>
    <w:rsid w:val="00D01781"/>
    <w:rsid w:val="00D21DBE"/>
    <w:rsid w:val="00D23BD3"/>
    <w:rsid w:val="00D33FEE"/>
    <w:rsid w:val="00D5564D"/>
    <w:rsid w:val="00D81858"/>
    <w:rsid w:val="00D90457"/>
    <w:rsid w:val="00DE16C6"/>
    <w:rsid w:val="00DE3C1F"/>
    <w:rsid w:val="00E0569A"/>
    <w:rsid w:val="00E13921"/>
    <w:rsid w:val="00E26D45"/>
    <w:rsid w:val="00E82E4A"/>
    <w:rsid w:val="00F01D2A"/>
    <w:rsid w:val="00F02857"/>
    <w:rsid w:val="00F23E50"/>
    <w:rsid w:val="00F42CFF"/>
    <w:rsid w:val="00F45720"/>
    <w:rsid w:val="00F46D46"/>
    <w:rsid w:val="00F532C0"/>
    <w:rsid w:val="00F5334D"/>
    <w:rsid w:val="00F62447"/>
    <w:rsid w:val="00F66FDC"/>
    <w:rsid w:val="00F67623"/>
    <w:rsid w:val="00F702AF"/>
    <w:rsid w:val="00F708FE"/>
    <w:rsid w:val="00FA2DB1"/>
    <w:rsid w:val="00FA2DF8"/>
    <w:rsid w:val="00FB4CA0"/>
    <w:rsid w:val="00FB4CF1"/>
    <w:rsid w:val="00FB60F0"/>
    <w:rsid w:val="00FC168C"/>
    <w:rsid w:val="00FF648C"/>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7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20"/>
      <w:outlineLvl w:val="0"/>
    </w:pPr>
    <w:rPr>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ind w:left="652" w:hanging="360"/>
      <w:jc w:val="both"/>
      <w:outlineLvl w:val="2"/>
    </w:pPr>
    <w:rPr>
      <w:sz w:val="24"/>
      <w:szCs w:val="24"/>
    </w:rPr>
  </w:style>
  <w:style w:type="paragraph" w:styleId="Heading4">
    <w:name w:val="heading 4"/>
    <w:basedOn w:val="Normal"/>
    <w:uiPriority w:val="9"/>
    <w:unhideWhenUsed/>
    <w:qFormat/>
    <w:pPr>
      <w:spacing w:before="68"/>
      <w:ind w:left="58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8"/>
      <w:ind w:left="580" w:hanging="360"/>
    </w:pPr>
  </w:style>
  <w:style w:type="paragraph" w:customStyle="1" w:styleId="TableParagraph">
    <w:name w:val="Table Paragraph"/>
    <w:basedOn w:val="Normal"/>
    <w:uiPriority w:val="1"/>
    <w:qFormat/>
    <w:pPr>
      <w:spacing w:before="2"/>
      <w:ind w:left="468"/>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5334D"/>
    <w:pPr>
      <w:tabs>
        <w:tab w:val="center" w:pos="4680"/>
        <w:tab w:val="right" w:pos="9360"/>
      </w:tabs>
    </w:pPr>
  </w:style>
  <w:style w:type="character" w:customStyle="1" w:styleId="HeaderChar">
    <w:name w:val="Header Char"/>
    <w:basedOn w:val="DefaultParagraphFont"/>
    <w:link w:val="Header"/>
    <w:uiPriority w:val="99"/>
    <w:rsid w:val="00F5334D"/>
    <w:rPr>
      <w:rFonts w:ascii="Trebuchet MS" w:eastAsia="Trebuchet MS" w:hAnsi="Trebuchet MS" w:cs="Trebuchet MS"/>
    </w:rPr>
  </w:style>
  <w:style w:type="paragraph" w:styleId="Footer">
    <w:name w:val="footer"/>
    <w:basedOn w:val="Normal"/>
    <w:link w:val="FooterChar"/>
    <w:uiPriority w:val="99"/>
    <w:unhideWhenUsed/>
    <w:rsid w:val="00F5334D"/>
    <w:pPr>
      <w:tabs>
        <w:tab w:val="center" w:pos="4680"/>
        <w:tab w:val="right" w:pos="9360"/>
      </w:tabs>
    </w:pPr>
  </w:style>
  <w:style w:type="character" w:customStyle="1" w:styleId="FooterChar">
    <w:name w:val="Footer Char"/>
    <w:basedOn w:val="DefaultParagraphFont"/>
    <w:link w:val="Footer"/>
    <w:uiPriority w:val="99"/>
    <w:rsid w:val="00F5334D"/>
    <w:rPr>
      <w:rFonts w:ascii="Trebuchet MS" w:eastAsia="Trebuchet MS" w:hAnsi="Trebuchet MS" w:cs="Trebuchet MS"/>
    </w:rPr>
  </w:style>
  <w:style w:type="character" w:styleId="Hyperlink">
    <w:name w:val="Hyperlink"/>
    <w:basedOn w:val="DefaultParagraphFont"/>
    <w:uiPriority w:val="99"/>
    <w:unhideWhenUsed/>
    <w:rsid w:val="00561E00"/>
    <w:rPr>
      <w:color w:val="0000FF" w:themeColor="hyperlink"/>
      <w:u w:val="single"/>
    </w:rPr>
  </w:style>
  <w:style w:type="character" w:customStyle="1" w:styleId="UnresolvedMention">
    <w:name w:val="Unresolved Mention"/>
    <w:basedOn w:val="DefaultParagraphFont"/>
    <w:uiPriority w:val="99"/>
    <w:semiHidden/>
    <w:unhideWhenUsed/>
    <w:rsid w:val="00561E00"/>
    <w:rPr>
      <w:color w:val="605E5C"/>
      <w:shd w:val="clear" w:color="auto" w:fill="E1DFDD"/>
    </w:rPr>
  </w:style>
  <w:style w:type="paragraph" w:styleId="HTMLPreformatted">
    <w:name w:val="HTML Preformatted"/>
    <w:basedOn w:val="Normal"/>
    <w:link w:val="HTMLPreformattedChar"/>
    <w:uiPriority w:val="99"/>
    <w:semiHidden/>
    <w:unhideWhenUsed/>
    <w:rsid w:val="008D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3C7"/>
    <w:rPr>
      <w:rFonts w:ascii="Courier New" w:eastAsia="Times New Roman" w:hAnsi="Courier New" w:cs="Courier New"/>
      <w:sz w:val="20"/>
      <w:szCs w:val="20"/>
    </w:rPr>
  </w:style>
  <w:style w:type="character" w:customStyle="1" w:styleId="y2iqfc">
    <w:name w:val="y2iqfc"/>
    <w:basedOn w:val="DefaultParagraphFont"/>
    <w:rsid w:val="008D23C7"/>
  </w:style>
  <w:style w:type="table" w:styleId="TableGrid">
    <w:name w:val="Table Grid"/>
    <w:basedOn w:val="TableNormal"/>
    <w:uiPriority w:val="39"/>
    <w:rsid w:val="0027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1D9"/>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F648C"/>
    <w:rPr>
      <w:rFonts w:ascii="Tahoma" w:hAnsi="Tahoma" w:cs="Tahoma"/>
      <w:sz w:val="16"/>
      <w:szCs w:val="16"/>
    </w:rPr>
  </w:style>
  <w:style w:type="character" w:customStyle="1" w:styleId="BalloonTextChar">
    <w:name w:val="Balloon Text Char"/>
    <w:basedOn w:val="DefaultParagraphFont"/>
    <w:link w:val="BalloonText"/>
    <w:uiPriority w:val="99"/>
    <w:semiHidden/>
    <w:rsid w:val="00FF648C"/>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20"/>
      <w:outlineLvl w:val="0"/>
    </w:pPr>
    <w:rPr>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ind w:left="652" w:hanging="360"/>
      <w:jc w:val="both"/>
      <w:outlineLvl w:val="2"/>
    </w:pPr>
    <w:rPr>
      <w:sz w:val="24"/>
      <w:szCs w:val="24"/>
    </w:rPr>
  </w:style>
  <w:style w:type="paragraph" w:styleId="Heading4">
    <w:name w:val="heading 4"/>
    <w:basedOn w:val="Normal"/>
    <w:uiPriority w:val="9"/>
    <w:unhideWhenUsed/>
    <w:qFormat/>
    <w:pPr>
      <w:spacing w:before="68"/>
      <w:ind w:left="58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8"/>
      <w:ind w:left="580" w:hanging="360"/>
    </w:pPr>
  </w:style>
  <w:style w:type="paragraph" w:customStyle="1" w:styleId="TableParagraph">
    <w:name w:val="Table Paragraph"/>
    <w:basedOn w:val="Normal"/>
    <w:uiPriority w:val="1"/>
    <w:qFormat/>
    <w:pPr>
      <w:spacing w:before="2"/>
      <w:ind w:left="468"/>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5334D"/>
    <w:pPr>
      <w:tabs>
        <w:tab w:val="center" w:pos="4680"/>
        <w:tab w:val="right" w:pos="9360"/>
      </w:tabs>
    </w:pPr>
  </w:style>
  <w:style w:type="character" w:customStyle="1" w:styleId="HeaderChar">
    <w:name w:val="Header Char"/>
    <w:basedOn w:val="DefaultParagraphFont"/>
    <w:link w:val="Header"/>
    <w:uiPriority w:val="99"/>
    <w:rsid w:val="00F5334D"/>
    <w:rPr>
      <w:rFonts w:ascii="Trebuchet MS" w:eastAsia="Trebuchet MS" w:hAnsi="Trebuchet MS" w:cs="Trebuchet MS"/>
    </w:rPr>
  </w:style>
  <w:style w:type="paragraph" w:styleId="Footer">
    <w:name w:val="footer"/>
    <w:basedOn w:val="Normal"/>
    <w:link w:val="FooterChar"/>
    <w:uiPriority w:val="99"/>
    <w:unhideWhenUsed/>
    <w:rsid w:val="00F5334D"/>
    <w:pPr>
      <w:tabs>
        <w:tab w:val="center" w:pos="4680"/>
        <w:tab w:val="right" w:pos="9360"/>
      </w:tabs>
    </w:pPr>
  </w:style>
  <w:style w:type="character" w:customStyle="1" w:styleId="FooterChar">
    <w:name w:val="Footer Char"/>
    <w:basedOn w:val="DefaultParagraphFont"/>
    <w:link w:val="Footer"/>
    <w:uiPriority w:val="99"/>
    <w:rsid w:val="00F5334D"/>
    <w:rPr>
      <w:rFonts w:ascii="Trebuchet MS" w:eastAsia="Trebuchet MS" w:hAnsi="Trebuchet MS" w:cs="Trebuchet MS"/>
    </w:rPr>
  </w:style>
  <w:style w:type="character" w:styleId="Hyperlink">
    <w:name w:val="Hyperlink"/>
    <w:basedOn w:val="DefaultParagraphFont"/>
    <w:uiPriority w:val="99"/>
    <w:unhideWhenUsed/>
    <w:rsid w:val="00561E00"/>
    <w:rPr>
      <w:color w:val="0000FF" w:themeColor="hyperlink"/>
      <w:u w:val="single"/>
    </w:rPr>
  </w:style>
  <w:style w:type="character" w:customStyle="1" w:styleId="UnresolvedMention">
    <w:name w:val="Unresolved Mention"/>
    <w:basedOn w:val="DefaultParagraphFont"/>
    <w:uiPriority w:val="99"/>
    <w:semiHidden/>
    <w:unhideWhenUsed/>
    <w:rsid w:val="00561E00"/>
    <w:rPr>
      <w:color w:val="605E5C"/>
      <w:shd w:val="clear" w:color="auto" w:fill="E1DFDD"/>
    </w:rPr>
  </w:style>
  <w:style w:type="paragraph" w:styleId="HTMLPreformatted">
    <w:name w:val="HTML Preformatted"/>
    <w:basedOn w:val="Normal"/>
    <w:link w:val="HTMLPreformattedChar"/>
    <w:uiPriority w:val="99"/>
    <w:semiHidden/>
    <w:unhideWhenUsed/>
    <w:rsid w:val="008D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3C7"/>
    <w:rPr>
      <w:rFonts w:ascii="Courier New" w:eastAsia="Times New Roman" w:hAnsi="Courier New" w:cs="Courier New"/>
      <w:sz w:val="20"/>
      <w:szCs w:val="20"/>
    </w:rPr>
  </w:style>
  <w:style w:type="character" w:customStyle="1" w:styleId="y2iqfc">
    <w:name w:val="y2iqfc"/>
    <w:basedOn w:val="DefaultParagraphFont"/>
    <w:rsid w:val="008D23C7"/>
  </w:style>
  <w:style w:type="table" w:styleId="TableGrid">
    <w:name w:val="Table Grid"/>
    <w:basedOn w:val="TableNormal"/>
    <w:uiPriority w:val="39"/>
    <w:rsid w:val="0027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1D9"/>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F648C"/>
    <w:rPr>
      <w:rFonts w:ascii="Tahoma" w:hAnsi="Tahoma" w:cs="Tahoma"/>
      <w:sz w:val="16"/>
      <w:szCs w:val="16"/>
    </w:rPr>
  </w:style>
  <w:style w:type="character" w:customStyle="1" w:styleId="BalloonTextChar">
    <w:name w:val="Balloon Text Char"/>
    <w:basedOn w:val="DefaultParagraphFont"/>
    <w:link w:val="BalloonText"/>
    <w:uiPriority w:val="99"/>
    <w:semiHidden/>
    <w:rsid w:val="00FF648C"/>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6309">
      <w:bodyDiv w:val="1"/>
      <w:marLeft w:val="0"/>
      <w:marRight w:val="0"/>
      <w:marTop w:val="0"/>
      <w:marBottom w:val="0"/>
      <w:divBdr>
        <w:top w:val="none" w:sz="0" w:space="0" w:color="auto"/>
        <w:left w:val="none" w:sz="0" w:space="0" w:color="auto"/>
        <w:bottom w:val="none" w:sz="0" w:space="0" w:color="auto"/>
        <w:right w:val="none" w:sz="0" w:space="0" w:color="auto"/>
      </w:divBdr>
    </w:div>
    <w:div w:id="1043478573">
      <w:bodyDiv w:val="1"/>
      <w:marLeft w:val="0"/>
      <w:marRight w:val="0"/>
      <w:marTop w:val="0"/>
      <w:marBottom w:val="0"/>
      <w:divBdr>
        <w:top w:val="none" w:sz="0" w:space="0" w:color="auto"/>
        <w:left w:val="none" w:sz="0" w:space="0" w:color="auto"/>
        <w:bottom w:val="none" w:sz="0" w:space="0" w:color="auto"/>
        <w:right w:val="none" w:sz="0" w:space="0" w:color="auto"/>
      </w:divBdr>
    </w:div>
    <w:div w:id="1185555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58</cp:revision>
  <cp:lastPrinted>2024-09-01T10:54:00Z</cp:lastPrinted>
  <dcterms:created xsi:type="dcterms:W3CDTF">2021-08-01T10:51:00Z</dcterms:created>
  <dcterms:modified xsi:type="dcterms:W3CDTF">2024-09-01T10:55:00Z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Office Word 2007</vt:lpwstr>
  </property>
  <property fmtid="{D5CDD505-2E9C-101B-9397-08002B2CF9AE}" pid="4" name="LastSaved">
    <vt:filetime>2019-08-22T00:00:00Z</vt:filetime>
  </property>
</Properties>
</file>